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ABC23" w14:textId="77777777" w:rsidR="00580EB5" w:rsidRDefault="00C6536E">
      <w:pPr>
        <w:pStyle w:val="BodyA"/>
        <w:widowControl w:val="0"/>
        <w:spacing w:line="360" w:lineRule="auto"/>
        <w:ind w:left="720" w:hanging="720"/>
        <w:jc w:val="center"/>
        <w:outlineLvl w:val="0"/>
        <w:rPr>
          <w:rFonts w:ascii="Times New Roman" w:eastAsia="Times New Roman" w:hAnsi="Times New Roman" w:cs="Times New Roman"/>
          <w:sz w:val="22"/>
          <w:szCs w:val="22"/>
        </w:rPr>
      </w:pPr>
      <w:bookmarkStart w:id="0" w:name="_GoBack"/>
      <w:bookmarkEnd w:id="0"/>
      <w:r>
        <w:rPr>
          <w:noProof/>
        </w:rPr>
        <w:drawing>
          <wp:anchor distT="152400" distB="152400" distL="152400" distR="152400" simplePos="0" relativeHeight="251660288" behindDoc="0" locked="0" layoutInCell="1" allowOverlap="1" wp14:anchorId="3D0FF471" wp14:editId="282164CD">
            <wp:simplePos x="0" y="0"/>
            <wp:positionH relativeFrom="margin">
              <wp:posOffset>753110</wp:posOffset>
            </wp:positionH>
            <wp:positionV relativeFrom="line">
              <wp:posOffset>31511</wp:posOffset>
            </wp:positionV>
            <wp:extent cx="1844223" cy="2016044"/>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SA_final_onecolor.pdf"/>
                    <pic:cNvPicPr/>
                  </pic:nvPicPr>
                  <pic:blipFill>
                    <a:blip r:embed="rId7">
                      <a:extLst/>
                    </a:blip>
                    <a:stretch>
                      <a:fillRect/>
                    </a:stretch>
                  </pic:blipFill>
                  <pic:spPr>
                    <a:xfrm>
                      <a:off x="0" y="0"/>
                      <a:ext cx="1844223" cy="2016044"/>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0" locked="0" layoutInCell="1" allowOverlap="1" wp14:anchorId="2424C678" wp14:editId="31DEB3B3">
            <wp:simplePos x="0" y="0"/>
            <wp:positionH relativeFrom="margin">
              <wp:posOffset>3536950</wp:posOffset>
            </wp:positionH>
            <wp:positionV relativeFrom="line">
              <wp:posOffset>191894</wp:posOffset>
            </wp:positionV>
            <wp:extent cx="1729740" cy="1749738"/>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8">
                      <a:extLst/>
                    </a:blip>
                    <a:stretch>
                      <a:fillRect/>
                    </a:stretch>
                  </pic:blipFill>
                  <pic:spPr>
                    <a:xfrm>
                      <a:off x="0" y="0"/>
                      <a:ext cx="1729740" cy="1749738"/>
                    </a:xfrm>
                    <a:prstGeom prst="rect">
                      <a:avLst/>
                    </a:prstGeom>
                    <a:ln w="12700" cap="flat">
                      <a:noFill/>
                      <a:miter lim="400000"/>
                    </a:ln>
                    <a:effectLst/>
                  </pic:spPr>
                </pic:pic>
              </a:graphicData>
            </a:graphic>
          </wp:anchor>
        </w:drawing>
      </w:r>
    </w:p>
    <w:p w14:paraId="55703AD1"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4D8D554B"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420DF144"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2BEDA16F"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5656F019"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6045C194"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6F202414"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3F1500E3"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23CFD46A" w14:textId="77777777" w:rsidR="00580EB5" w:rsidRDefault="00580EB5">
      <w:pPr>
        <w:pStyle w:val="BodyA"/>
        <w:widowControl w:val="0"/>
        <w:spacing w:line="360" w:lineRule="auto"/>
        <w:ind w:left="720" w:hanging="720"/>
        <w:jc w:val="center"/>
        <w:outlineLvl w:val="0"/>
        <w:rPr>
          <w:rFonts w:ascii="Times New Roman" w:eastAsia="Times New Roman" w:hAnsi="Times New Roman" w:cs="Times New Roman"/>
          <w:sz w:val="22"/>
          <w:szCs w:val="22"/>
        </w:rPr>
      </w:pPr>
    </w:p>
    <w:p w14:paraId="7714B913" w14:textId="77777777" w:rsidR="00580EB5" w:rsidRDefault="00580EB5">
      <w:pPr>
        <w:pStyle w:val="BodyA"/>
        <w:widowControl w:val="0"/>
        <w:ind w:left="720" w:hanging="720"/>
        <w:jc w:val="center"/>
        <w:outlineLvl w:val="0"/>
        <w:rPr>
          <w:rFonts w:ascii="Times New Roman" w:eastAsia="Times New Roman" w:hAnsi="Times New Roman" w:cs="Times New Roman"/>
          <w:sz w:val="22"/>
          <w:szCs w:val="22"/>
        </w:rPr>
      </w:pPr>
    </w:p>
    <w:p w14:paraId="710D148C" w14:textId="77777777" w:rsidR="00580EB5" w:rsidRDefault="00C6536E">
      <w:pPr>
        <w:pStyle w:val="BodyA"/>
        <w:widowControl w:val="0"/>
        <w:ind w:left="720" w:hanging="720"/>
        <w:jc w:val="center"/>
        <w:outlineLvl w:val="0"/>
        <w:rPr>
          <w:rFonts w:ascii="Times New Roman" w:eastAsia="Times New Roman" w:hAnsi="Times New Roman" w:cs="Times New Roman"/>
          <w:sz w:val="22"/>
          <w:szCs w:val="22"/>
        </w:rPr>
      </w:pPr>
      <w:r>
        <w:rPr>
          <w:rFonts w:ascii="Times New Roman"/>
          <w:sz w:val="22"/>
          <w:szCs w:val="22"/>
        </w:rPr>
        <w:t>ARTICLES OF INCORPORATION</w:t>
      </w:r>
    </w:p>
    <w:p w14:paraId="1DDA2870" w14:textId="77777777" w:rsidR="00580EB5" w:rsidRDefault="00580EB5">
      <w:pPr>
        <w:pStyle w:val="BodyA"/>
        <w:widowControl w:val="0"/>
        <w:ind w:left="720" w:hanging="720"/>
        <w:jc w:val="center"/>
        <w:outlineLvl w:val="0"/>
        <w:rPr>
          <w:rFonts w:ascii="Times New Roman" w:eastAsia="Times New Roman" w:hAnsi="Times New Roman" w:cs="Times New Roman"/>
          <w:sz w:val="22"/>
          <w:szCs w:val="22"/>
        </w:rPr>
      </w:pPr>
    </w:p>
    <w:p w14:paraId="554E019D" w14:textId="77777777" w:rsidR="00580EB5" w:rsidRDefault="00C6536E">
      <w:pPr>
        <w:pStyle w:val="BodyA"/>
        <w:widowControl w:val="0"/>
        <w:ind w:left="720" w:hanging="720"/>
        <w:jc w:val="center"/>
        <w:outlineLvl w:val="0"/>
        <w:rPr>
          <w:rFonts w:ascii="Times New Roman" w:eastAsia="Times New Roman" w:hAnsi="Times New Roman" w:cs="Times New Roman"/>
          <w:b/>
          <w:bCs/>
          <w:sz w:val="28"/>
          <w:szCs w:val="28"/>
        </w:rPr>
      </w:pPr>
      <w:r>
        <w:rPr>
          <w:rFonts w:ascii="Times New Roman"/>
          <w:b/>
          <w:bCs/>
          <w:sz w:val="28"/>
          <w:szCs w:val="28"/>
        </w:rPr>
        <w:t>[INSERT ENTITY NAME].</w:t>
      </w:r>
    </w:p>
    <w:p w14:paraId="2CA0D554" w14:textId="77777777" w:rsidR="00580EB5" w:rsidRDefault="00580EB5">
      <w:pPr>
        <w:pStyle w:val="BodyA"/>
        <w:widowControl w:val="0"/>
        <w:ind w:left="720" w:hanging="720"/>
        <w:jc w:val="center"/>
        <w:outlineLvl w:val="0"/>
        <w:rPr>
          <w:rFonts w:ascii="Times New Roman" w:eastAsia="Times New Roman" w:hAnsi="Times New Roman" w:cs="Times New Roman"/>
          <w:b/>
          <w:bCs/>
          <w:sz w:val="22"/>
          <w:szCs w:val="22"/>
        </w:rPr>
      </w:pPr>
    </w:p>
    <w:p w14:paraId="3124C392" w14:textId="77777777" w:rsidR="00580EB5" w:rsidRDefault="00C6536E">
      <w:pPr>
        <w:pStyle w:val="BodyA"/>
        <w:widowControl w:val="0"/>
        <w:ind w:left="720" w:hanging="720"/>
        <w:jc w:val="center"/>
        <w:outlineLvl w:val="0"/>
        <w:rPr>
          <w:rFonts w:ascii="Times New Roman" w:eastAsia="Times New Roman" w:hAnsi="Times New Roman" w:cs="Times New Roman"/>
          <w:b/>
          <w:bCs/>
          <w:sz w:val="22"/>
          <w:szCs w:val="22"/>
        </w:rPr>
      </w:pPr>
      <w:r>
        <w:rPr>
          <w:rFonts w:ascii="Times New Roman"/>
          <w:b/>
          <w:bCs/>
          <w:sz w:val="22"/>
          <w:szCs w:val="22"/>
        </w:rPr>
        <w:t>[INSERT TYPE OF STATE ENTITY; E.G. NOT-FOR-PROFIT]</w:t>
      </w:r>
    </w:p>
    <w:p w14:paraId="6A6F7986" w14:textId="77777777" w:rsidR="00580EB5" w:rsidRDefault="00580EB5">
      <w:pPr>
        <w:pStyle w:val="BodyA"/>
        <w:widowControl w:val="0"/>
        <w:outlineLvl w:val="0"/>
        <w:rPr>
          <w:rFonts w:ascii="Times New Roman" w:eastAsia="Times New Roman" w:hAnsi="Times New Roman" w:cs="Times New Roman"/>
          <w:sz w:val="22"/>
          <w:szCs w:val="22"/>
        </w:rPr>
      </w:pPr>
    </w:p>
    <w:p w14:paraId="51960071"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I</w:t>
      </w:r>
    </w:p>
    <w:p w14:paraId="029BC513"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Name of Corporation and Duration</w:t>
      </w:r>
    </w:p>
    <w:p w14:paraId="2CE40B19" w14:textId="77777777" w:rsidR="00580EB5" w:rsidRDefault="00C6536E">
      <w:pPr>
        <w:pStyle w:val="BodyA"/>
        <w:widowControl w:val="0"/>
        <w:outlineLvl w:val="0"/>
        <w:rPr>
          <w:rFonts w:ascii="Times New Roman" w:eastAsia="Times New Roman" w:hAnsi="Times New Roman" w:cs="Times New Roman"/>
        </w:rPr>
      </w:pPr>
      <w:r>
        <w:rPr>
          <w:rFonts w:ascii="Times New Roman"/>
        </w:rPr>
        <w:t>The name of this corporation is the [</w:t>
      </w:r>
      <w:r>
        <w:rPr>
          <w:rFonts w:ascii="Times New Roman"/>
          <w:b/>
          <w:bCs/>
        </w:rPr>
        <w:t>INSERT NAME OF ENTITY</w:t>
      </w:r>
      <w:r>
        <w:rPr>
          <w:rFonts w:ascii="Times New Roman"/>
        </w:rPr>
        <w:t xml:space="preserve">] (the "Corporation" or the </w:t>
      </w:r>
      <w:r>
        <w:rPr>
          <w:rFonts w:hAnsi="Times New Roman"/>
        </w:rPr>
        <w:t>“</w:t>
      </w:r>
      <w:r>
        <w:rPr>
          <w:rFonts w:ascii="Times New Roman"/>
        </w:rPr>
        <w:t>Guild</w:t>
      </w:r>
      <w:r>
        <w:rPr>
          <w:rFonts w:hAnsi="Times New Roman"/>
        </w:rPr>
        <w:t>”</w:t>
      </w:r>
      <w:r>
        <w:rPr>
          <w:rFonts w:ascii="Times New Roman"/>
        </w:rPr>
        <w:t xml:space="preserve">). </w:t>
      </w:r>
      <w:r>
        <w:rPr>
          <w:rFonts w:ascii="Times New Roman"/>
        </w:rPr>
        <w:t>This Corporation will continue in existence perpetually unless dissolved pursuant to law and consistent with the terms of the Bylaws of the Corporation.</w:t>
      </w:r>
    </w:p>
    <w:p w14:paraId="438A8378" w14:textId="77777777" w:rsidR="00580EB5" w:rsidRDefault="00580EB5">
      <w:pPr>
        <w:pStyle w:val="BodyA"/>
        <w:widowControl w:val="0"/>
        <w:outlineLvl w:val="0"/>
        <w:rPr>
          <w:rFonts w:ascii="Times New Roman" w:eastAsia="Times New Roman" w:hAnsi="Times New Roman" w:cs="Times New Roman"/>
          <w:sz w:val="22"/>
          <w:szCs w:val="22"/>
        </w:rPr>
      </w:pPr>
    </w:p>
    <w:p w14:paraId="33E264B7"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II</w:t>
      </w:r>
    </w:p>
    <w:p w14:paraId="0F3E9D52" w14:textId="77777777" w:rsidR="00580EB5" w:rsidRDefault="00580EB5">
      <w:pPr>
        <w:pStyle w:val="BodyA"/>
        <w:widowControl w:val="0"/>
        <w:jc w:val="center"/>
        <w:outlineLvl w:val="0"/>
        <w:rPr>
          <w:rFonts w:ascii="Times New Roman" w:eastAsia="Times New Roman" w:hAnsi="Times New Roman" w:cs="Times New Roman"/>
          <w:b/>
          <w:bCs/>
          <w:sz w:val="22"/>
          <w:szCs w:val="22"/>
        </w:rPr>
      </w:pPr>
    </w:p>
    <w:p w14:paraId="70260849"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Registered Agent</w:t>
      </w:r>
    </w:p>
    <w:p w14:paraId="7E18CCE1" w14:textId="77777777" w:rsidR="00580EB5" w:rsidRDefault="00C6536E">
      <w:pPr>
        <w:pStyle w:val="BodyA"/>
        <w:widowControl w:val="0"/>
        <w:outlineLvl w:val="0"/>
        <w:rPr>
          <w:rFonts w:ascii="Times New Roman" w:eastAsia="Times New Roman" w:hAnsi="Times New Roman" w:cs="Times New Roman"/>
        </w:rPr>
      </w:pPr>
      <w:r>
        <w:rPr>
          <w:rFonts w:ascii="Times New Roman"/>
        </w:rPr>
        <w:t>[</w:t>
      </w:r>
      <w:r>
        <w:rPr>
          <w:rFonts w:ascii="Times New Roman"/>
          <w:b/>
          <w:bCs/>
        </w:rPr>
        <w:t>INSERT NAME AND ADDRESS OF REGISTERED AGENT</w:t>
      </w:r>
      <w:r>
        <w:rPr>
          <w:rFonts w:ascii="Times New Roman"/>
        </w:rPr>
        <w:t>]</w:t>
      </w:r>
    </w:p>
    <w:p w14:paraId="1878D764" w14:textId="77777777" w:rsidR="00580EB5" w:rsidRDefault="00580EB5">
      <w:pPr>
        <w:pStyle w:val="BodyA"/>
        <w:widowControl w:val="0"/>
        <w:outlineLvl w:val="0"/>
        <w:rPr>
          <w:rFonts w:ascii="Times New Roman" w:eastAsia="Times New Roman" w:hAnsi="Times New Roman" w:cs="Times New Roman"/>
          <w:b/>
          <w:bCs/>
          <w:sz w:val="22"/>
          <w:szCs w:val="22"/>
        </w:rPr>
      </w:pPr>
    </w:p>
    <w:p w14:paraId="6EEBD059"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III</w:t>
      </w:r>
    </w:p>
    <w:p w14:paraId="67A4C8F0"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 xml:space="preserve">Statement of </w:t>
      </w:r>
      <w:r>
        <w:rPr>
          <w:rFonts w:ascii="Times New Roman"/>
          <w:b/>
          <w:bCs/>
          <w:sz w:val="22"/>
          <w:szCs w:val="22"/>
        </w:rPr>
        <w:t>Purpose</w:t>
      </w:r>
    </w:p>
    <w:p w14:paraId="37BD7A87" w14:textId="77777777" w:rsidR="00580EB5" w:rsidRDefault="00C6536E">
      <w:pPr>
        <w:pStyle w:val="BodyA"/>
        <w:widowControl w:val="0"/>
        <w:outlineLvl w:val="0"/>
        <w:rPr>
          <w:rFonts w:ascii="Times New Roman" w:eastAsia="Times New Roman" w:hAnsi="Times New Roman" w:cs="Times New Roman"/>
        </w:rPr>
      </w:pPr>
      <w:r>
        <w:rPr>
          <w:rFonts w:ascii="Times New Roman"/>
        </w:rPr>
        <w:t>The Corporation is a mutual benefit corporation organized and operated primarily to promote the common business and regulatory interests of and to improve the business conditions for those organizations, associations, and corporations that are in t</w:t>
      </w:r>
      <w:r>
        <w:rPr>
          <w:rFonts w:ascii="Times New Roman"/>
        </w:rPr>
        <w:t>he [</w:t>
      </w:r>
      <w:r>
        <w:rPr>
          <w:rFonts w:ascii="Times New Roman"/>
          <w:b/>
          <w:bCs/>
        </w:rPr>
        <w:t>Insert State</w:t>
      </w:r>
      <w:r>
        <w:rPr>
          <w:rFonts w:ascii="Times New Roman"/>
        </w:rPr>
        <w:t>] craft distilling industry, including the [</w:t>
      </w:r>
      <w:r>
        <w:rPr>
          <w:rFonts w:ascii="Times New Roman"/>
          <w:b/>
          <w:bCs/>
        </w:rPr>
        <w:t>Insert State</w:t>
      </w:r>
      <w:r>
        <w:rPr>
          <w:rFonts w:ascii="Times New Roman"/>
        </w:rPr>
        <w:t xml:space="preserve">] (the </w:t>
      </w:r>
      <w:r>
        <w:rPr>
          <w:rFonts w:hAnsi="Times New Roman"/>
        </w:rPr>
        <w:t>“</w:t>
      </w:r>
      <w:r>
        <w:rPr>
          <w:rFonts w:ascii="Times New Roman"/>
        </w:rPr>
        <w:t>State</w:t>
      </w:r>
      <w:r>
        <w:rPr>
          <w:rFonts w:hAnsi="Times New Roman"/>
        </w:rPr>
        <w:t>”</w:t>
      </w:r>
      <w:r>
        <w:rPr>
          <w:rFonts w:ascii="Times New Roman"/>
        </w:rPr>
        <w:t xml:space="preserve">) agricultural industry that supports the State craft distilling.  The primary activities of promotion, improving operational efficiency, improving safety and regulatory </w:t>
      </w:r>
      <w:r>
        <w:rPr>
          <w:rFonts w:ascii="Times New Roman"/>
        </w:rPr>
        <w:t>compliance, and improving the business environment for the State's craft distillers will be achieved as follows:</w:t>
      </w:r>
    </w:p>
    <w:p w14:paraId="7B1250A0" w14:textId="77777777" w:rsidR="00580EB5" w:rsidRDefault="00580EB5">
      <w:pPr>
        <w:pStyle w:val="BodyA"/>
        <w:rPr>
          <w:rFonts w:ascii="Times New Roman" w:eastAsia="Times New Roman" w:hAnsi="Times New Roman" w:cs="Times New Roman"/>
        </w:rPr>
      </w:pPr>
    </w:p>
    <w:p w14:paraId="08AC0430" w14:textId="77777777" w:rsidR="00580EB5" w:rsidRDefault="00C6536E">
      <w:pPr>
        <w:pStyle w:val="ListParagraph"/>
        <w:numPr>
          <w:ilvl w:val="0"/>
          <w:numId w:val="3"/>
        </w:numPr>
        <w:rPr>
          <w:rFonts w:ascii="Times New Roman" w:eastAsia="Times New Roman" w:hAnsi="Times New Roman" w:cs="Times New Roman"/>
        </w:rPr>
      </w:pPr>
      <w:r>
        <w:rPr>
          <w:rFonts w:ascii="Times New Roman"/>
        </w:rPr>
        <w:t>[</w:t>
      </w:r>
      <w:r>
        <w:rPr>
          <w:rFonts w:ascii="Times New Roman"/>
          <w:b/>
          <w:bCs/>
        </w:rPr>
        <w:t>Insert Purpose of Guild</w:t>
      </w:r>
      <w:r>
        <w:rPr>
          <w:rFonts w:ascii="Times New Roman"/>
        </w:rPr>
        <w:t xml:space="preserve">: </w:t>
      </w:r>
      <w:r>
        <w:rPr>
          <w:rFonts w:ascii="Times New Roman"/>
          <w:b/>
          <w:bCs/>
        </w:rPr>
        <w:t xml:space="preserve">An Example </w:t>
      </w:r>
      <w:r>
        <w:rPr>
          <w:rFonts w:ascii="Times New Roman"/>
        </w:rPr>
        <w:t>- To promote [</w:t>
      </w:r>
      <w:r>
        <w:rPr>
          <w:rFonts w:ascii="Times New Roman"/>
          <w:b/>
          <w:bCs/>
        </w:rPr>
        <w:t>Insert State</w:t>
      </w:r>
      <w:r>
        <w:rPr>
          <w:rFonts w:ascii="Times New Roman"/>
        </w:rPr>
        <w:t>] craft distillers both in and outside the State the Guild will produce brochur</w:t>
      </w:r>
      <w:r>
        <w:rPr>
          <w:rFonts w:ascii="Times New Roman"/>
        </w:rPr>
        <w:t xml:space="preserve">es, press releases, a web site and events that highlight the State's distilleries and benefits to the State agricultural industry.  These activities put State distilleries in front of a broad range of people who are potential customers of these products.  </w:t>
      </w:r>
      <w:r>
        <w:rPr>
          <w:rFonts w:ascii="Times New Roman"/>
        </w:rPr>
        <w:t xml:space="preserve">These activities </w:t>
      </w:r>
      <w:r>
        <w:rPr>
          <w:rFonts w:ascii="Times New Roman"/>
        </w:rPr>
        <w:lastRenderedPageBreak/>
        <w:t>may be initiated by the Board of Directors and carried out by sub-committees, independent contractors or Guild volunteers.]</w:t>
      </w:r>
    </w:p>
    <w:p w14:paraId="4A2954DE" w14:textId="77777777" w:rsidR="00580EB5" w:rsidRDefault="00580EB5">
      <w:pPr>
        <w:pStyle w:val="BodyA"/>
        <w:rPr>
          <w:rFonts w:ascii="Times New Roman" w:eastAsia="Times New Roman" w:hAnsi="Times New Roman" w:cs="Times New Roman"/>
        </w:rPr>
      </w:pPr>
    </w:p>
    <w:p w14:paraId="2EA9A1AA" w14:textId="77777777" w:rsidR="00580EB5" w:rsidRDefault="00C6536E">
      <w:pPr>
        <w:pStyle w:val="ListParagraph"/>
        <w:numPr>
          <w:ilvl w:val="0"/>
          <w:numId w:val="3"/>
        </w:numPr>
        <w:rPr>
          <w:rFonts w:ascii="Times New Roman" w:eastAsia="Times New Roman" w:hAnsi="Times New Roman" w:cs="Times New Roman"/>
        </w:rPr>
      </w:pPr>
      <w:r>
        <w:rPr>
          <w:rFonts w:ascii="Times New Roman"/>
        </w:rPr>
        <w:t>[</w:t>
      </w:r>
      <w:r>
        <w:rPr>
          <w:rFonts w:ascii="Times New Roman"/>
          <w:b/>
          <w:bCs/>
        </w:rPr>
        <w:t>Example]</w:t>
      </w:r>
      <w:r>
        <w:rPr>
          <w:rFonts w:ascii="Times New Roman"/>
        </w:rPr>
        <w:t>The Board of Directors may initiate activities that help the members operate at a lower cost, operate mor</w:t>
      </w:r>
      <w:r>
        <w:rPr>
          <w:rFonts w:ascii="Times New Roman"/>
        </w:rPr>
        <w:t xml:space="preserve">e efficiently, or operate faster.  These activities may include bulk purchase of materials such as glass or corks; putting together a resource guide of suppliers, and seeking out new suppliers.   </w:t>
      </w:r>
    </w:p>
    <w:p w14:paraId="3CABC881" w14:textId="77777777" w:rsidR="00580EB5" w:rsidRDefault="00580EB5">
      <w:pPr>
        <w:pStyle w:val="BodyA"/>
        <w:rPr>
          <w:rFonts w:ascii="Times New Roman" w:eastAsia="Times New Roman" w:hAnsi="Times New Roman" w:cs="Times New Roman"/>
        </w:rPr>
      </w:pPr>
    </w:p>
    <w:p w14:paraId="2537DD39" w14:textId="77777777" w:rsidR="00580EB5" w:rsidRDefault="00C6536E">
      <w:pPr>
        <w:pStyle w:val="ListParagraph"/>
        <w:numPr>
          <w:ilvl w:val="0"/>
          <w:numId w:val="3"/>
        </w:numPr>
        <w:rPr>
          <w:rFonts w:ascii="Times New Roman" w:eastAsia="Times New Roman" w:hAnsi="Times New Roman" w:cs="Times New Roman"/>
        </w:rPr>
      </w:pPr>
      <w:r>
        <w:rPr>
          <w:rFonts w:ascii="Times New Roman"/>
        </w:rPr>
        <w:t>[</w:t>
      </w:r>
      <w:r>
        <w:rPr>
          <w:rFonts w:ascii="Times New Roman"/>
          <w:b/>
          <w:bCs/>
        </w:rPr>
        <w:t>Example</w:t>
      </w:r>
      <w:r>
        <w:rPr>
          <w:rFonts w:ascii="Times New Roman"/>
        </w:rPr>
        <w:t xml:space="preserve">] The Guild will work to improve member awareness </w:t>
      </w:r>
      <w:r>
        <w:rPr>
          <w:rFonts w:ascii="Times New Roman"/>
        </w:rPr>
        <w:t>of environmental, health and safety issues. This work may include reaching out to regulatory organizations for interpretations, procurement of safety or regulatory compliance contractors, and the production of reference guides or resources for safety or co</w:t>
      </w:r>
      <w:r>
        <w:rPr>
          <w:rFonts w:ascii="Times New Roman"/>
        </w:rPr>
        <w:t>mpliance related equipment. This work will not include safety certification.</w:t>
      </w:r>
    </w:p>
    <w:p w14:paraId="6B2E9DCF" w14:textId="77777777" w:rsidR="00580EB5" w:rsidRDefault="00580EB5">
      <w:pPr>
        <w:pStyle w:val="BodyA"/>
        <w:rPr>
          <w:rFonts w:ascii="Times New Roman" w:eastAsia="Times New Roman" w:hAnsi="Times New Roman" w:cs="Times New Roman"/>
        </w:rPr>
      </w:pPr>
    </w:p>
    <w:p w14:paraId="766900B0" w14:textId="77777777" w:rsidR="00580EB5" w:rsidRDefault="00C6536E">
      <w:pPr>
        <w:pStyle w:val="ListParagraph"/>
        <w:numPr>
          <w:ilvl w:val="0"/>
          <w:numId w:val="3"/>
        </w:numPr>
        <w:rPr>
          <w:rFonts w:ascii="Times New Roman" w:eastAsia="Times New Roman" w:hAnsi="Times New Roman" w:cs="Times New Roman"/>
        </w:rPr>
      </w:pPr>
      <w:r>
        <w:rPr>
          <w:rFonts w:ascii="Times New Roman"/>
        </w:rPr>
        <w:t>Under the auspice of improving the business environment for [</w:t>
      </w:r>
      <w:r>
        <w:rPr>
          <w:rFonts w:ascii="Times New Roman"/>
          <w:b/>
          <w:bCs/>
        </w:rPr>
        <w:t>Insert State</w:t>
      </w:r>
      <w:r>
        <w:rPr>
          <w:rFonts w:ascii="Times New Roman"/>
        </w:rPr>
        <w:t>] distilleries, the Guild will work with regulatory bodies such as the [</w:t>
      </w:r>
      <w:r>
        <w:rPr>
          <w:rFonts w:ascii="Times New Roman"/>
          <w:b/>
          <w:bCs/>
        </w:rPr>
        <w:t>Insert State Alcohol Beverage Con</w:t>
      </w:r>
      <w:r>
        <w:rPr>
          <w:rFonts w:ascii="Times New Roman"/>
          <w:b/>
          <w:bCs/>
        </w:rPr>
        <w:t>trol body and Insert State Name]</w:t>
      </w:r>
      <w:r>
        <w:rPr>
          <w:rFonts w:ascii="Times New Roman"/>
        </w:rPr>
        <w:t xml:space="preserve"> legislature and the Federal Alcohol and Tobacco Tax and Trade Bureau.  The Guild will work with these and other agencies in a two-way exchange of ideas and discussion of issues to further the business environment for [</w:t>
      </w:r>
      <w:r>
        <w:rPr>
          <w:rFonts w:ascii="Times New Roman"/>
          <w:b/>
          <w:bCs/>
        </w:rPr>
        <w:t>Inser</w:t>
      </w:r>
      <w:r>
        <w:rPr>
          <w:rFonts w:ascii="Times New Roman"/>
          <w:b/>
          <w:bCs/>
        </w:rPr>
        <w:t>t State</w:t>
      </w:r>
      <w:r>
        <w:rPr>
          <w:rFonts w:ascii="Times New Roman"/>
        </w:rPr>
        <w:t>] distilleries.  These activities will be at the direction or initiated by the Guild Board of Directors and carried out by Guild members or designees.</w:t>
      </w:r>
    </w:p>
    <w:p w14:paraId="354C4EC2" w14:textId="77777777" w:rsidR="00580EB5" w:rsidRDefault="00580EB5">
      <w:pPr>
        <w:pStyle w:val="BodyA"/>
        <w:widowControl w:val="0"/>
        <w:outlineLvl w:val="0"/>
        <w:rPr>
          <w:rFonts w:ascii="Times New Roman" w:eastAsia="Times New Roman" w:hAnsi="Times New Roman" w:cs="Times New Roman"/>
        </w:rPr>
      </w:pPr>
    </w:p>
    <w:p w14:paraId="4B7634D4" w14:textId="77777777" w:rsidR="00580EB5" w:rsidRDefault="00C6536E">
      <w:pPr>
        <w:pStyle w:val="ListParagraph"/>
        <w:numPr>
          <w:ilvl w:val="0"/>
          <w:numId w:val="3"/>
        </w:numPr>
        <w:rPr>
          <w:rFonts w:ascii="Times New Roman" w:eastAsia="Times New Roman" w:hAnsi="Times New Roman" w:cs="Times New Roman"/>
        </w:rPr>
      </w:pPr>
      <w:r>
        <w:rPr>
          <w:rFonts w:ascii="Times New Roman"/>
          <w:color w:val="222222"/>
          <w:u w:color="222222"/>
          <w:shd w:val="clear" w:color="auto" w:fill="FFFFFF"/>
        </w:rPr>
        <w:t>[</w:t>
      </w:r>
      <w:r>
        <w:rPr>
          <w:rFonts w:ascii="Times New Roman"/>
          <w:b/>
          <w:bCs/>
          <w:color w:val="222222"/>
          <w:u w:color="222222"/>
          <w:shd w:val="clear" w:color="auto" w:fill="FFFFFF"/>
        </w:rPr>
        <w:t>Insert Any Additional Purposes or Ways of Working</w:t>
      </w:r>
      <w:r>
        <w:rPr>
          <w:rFonts w:ascii="Times New Roman"/>
          <w:color w:val="222222"/>
          <w:u w:color="222222"/>
          <w:shd w:val="clear" w:color="auto" w:fill="FFFFFF"/>
        </w:rPr>
        <w:t>]</w:t>
      </w:r>
    </w:p>
    <w:p w14:paraId="10D58661" w14:textId="77777777" w:rsidR="00580EB5" w:rsidRDefault="00580EB5">
      <w:pPr>
        <w:pStyle w:val="BodyA"/>
        <w:widowControl w:val="0"/>
        <w:outlineLvl w:val="0"/>
        <w:rPr>
          <w:rFonts w:ascii="Times New Roman" w:eastAsia="Times New Roman" w:hAnsi="Times New Roman" w:cs="Times New Roman"/>
        </w:rPr>
      </w:pPr>
    </w:p>
    <w:p w14:paraId="6A90F726" w14:textId="77777777" w:rsidR="00580EB5" w:rsidRDefault="00580EB5">
      <w:pPr>
        <w:pStyle w:val="BodyA"/>
        <w:widowControl w:val="0"/>
        <w:outlineLvl w:val="0"/>
        <w:rPr>
          <w:rFonts w:ascii="Times New Roman" w:eastAsia="Times New Roman" w:hAnsi="Times New Roman" w:cs="Times New Roman"/>
        </w:rPr>
      </w:pPr>
    </w:p>
    <w:p w14:paraId="56666AAF" w14:textId="77777777" w:rsidR="00580EB5" w:rsidRDefault="00C6536E">
      <w:pPr>
        <w:pStyle w:val="BodyA"/>
        <w:widowControl w:val="0"/>
        <w:outlineLvl w:val="0"/>
        <w:rPr>
          <w:rFonts w:ascii="Times New Roman" w:eastAsia="Times New Roman" w:hAnsi="Times New Roman" w:cs="Times New Roman"/>
        </w:rPr>
      </w:pPr>
      <w:r>
        <w:rPr>
          <w:rFonts w:ascii="Times New Roman"/>
        </w:rPr>
        <w:t>Notwithstanding any provision of these Arti</w:t>
      </w:r>
      <w:r>
        <w:rPr>
          <w:rFonts w:ascii="Times New Roman"/>
        </w:rPr>
        <w:t>cles of Incorporation, neither the Board of Directors nor the Corporation has the power or authority to engage in any act that will prevent the Corporation from being an organization described in Section 501(c)(6) of the Internal Revenue Code of 1986, as a</w:t>
      </w:r>
      <w:r>
        <w:rPr>
          <w:rFonts w:ascii="Times New Roman"/>
        </w:rPr>
        <w:t>mended.  Subject to the foregoing, and subject to and in furtherance of the purposes for which it is organized, the Corporation possesses all of the rights, privileges, and powers conferred by the said Code or any other law.</w:t>
      </w:r>
    </w:p>
    <w:p w14:paraId="32179B69" w14:textId="77777777" w:rsidR="00580EB5" w:rsidRDefault="00580EB5">
      <w:pPr>
        <w:pStyle w:val="BodyA"/>
        <w:widowControl w:val="0"/>
        <w:outlineLvl w:val="0"/>
        <w:rPr>
          <w:rFonts w:ascii="Times New Roman" w:eastAsia="Times New Roman" w:hAnsi="Times New Roman" w:cs="Times New Roman"/>
          <w:sz w:val="22"/>
          <w:szCs w:val="22"/>
        </w:rPr>
      </w:pPr>
    </w:p>
    <w:p w14:paraId="4EB1CAD5" w14:textId="77777777" w:rsidR="00580EB5" w:rsidRDefault="00580EB5">
      <w:pPr>
        <w:pStyle w:val="BodyA"/>
        <w:widowControl w:val="0"/>
        <w:outlineLvl w:val="0"/>
        <w:rPr>
          <w:rFonts w:ascii="Times New Roman" w:eastAsia="Times New Roman" w:hAnsi="Times New Roman" w:cs="Times New Roman"/>
          <w:b/>
          <w:bCs/>
          <w:sz w:val="22"/>
          <w:szCs w:val="22"/>
        </w:rPr>
      </w:pPr>
    </w:p>
    <w:p w14:paraId="15BF365B"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IV</w:t>
      </w:r>
    </w:p>
    <w:p w14:paraId="639506E4"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Members</w:t>
      </w:r>
    </w:p>
    <w:p w14:paraId="67363DC1" w14:textId="77777777" w:rsidR="00580EB5" w:rsidRDefault="00C6536E">
      <w:pPr>
        <w:pStyle w:val="BodyA"/>
        <w:widowControl w:val="0"/>
        <w:outlineLvl w:val="0"/>
        <w:rPr>
          <w:rFonts w:ascii="Times New Roman" w:eastAsia="Times New Roman" w:hAnsi="Times New Roman" w:cs="Times New Roman"/>
        </w:rPr>
      </w:pPr>
      <w:r>
        <w:rPr>
          <w:rFonts w:ascii="Times New Roman"/>
        </w:rPr>
        <w:t xml:space="preserve">The </w:t>
      </w:r>
      <w:r>
        <w:rPr>
          <w:rFonts w:ascii="Times New Roman"/>
        </w:rPr>
        <w:t xml:space="preserve">Corporation has </w:t>
      </w:r>
      <w:proofErr w:type="gramStart"/>
      <w:r>
        <w:rPr>
          <w:rFonts w:ascii="Times New Roman"/>
        </w:rPr>
        <w:t>have</w:t>
      </w:r>
      <w:proofErr w:type="gramEnd"/>
      <w:r>
        <w:rPr>
          <w:rFonts w:ascii="Times New Roman"/>
        </w:rPr>
        <w:t xml:space="preserve"> one (1) or more classes of members as specified in the Corporation</w:t>
      </w:r>
      <w:r>
        <w:rPr>
          <w:rFonts w:hAnsi="Times New Roman"/>
        </w:rPr>
        <w:t>’</w:t>
      </w:r>
      <w:r>
        <w:rPr>
          <w:rFonts w:ascii="Times New Roman"/>
        </w:rPr>
        <w:t>s Bylaws.  The terms and conditions of membership of each class will be as specified in the Corporation</w:t>
      </w:r>
      <w:r>
        <w:rPr>
          <w:rFonts w:hAnsi="Times New Roman"/>
        </w:rPr>
        <w:t>’</w:t>
      </w:r>
      <w:r>
        <w:rPr>
          <w:rFonts w:ascii="Times New Roman"/>
        </w:rPr>
        <w:t xml:space="preserve">s Bylaws.  </w:t>
      </w:r>
    </w:p>
    <w:p w14:paraId="26EC08A8" w14:textId="77777777" w:rsidR="00580EB5" w:rsidRDefault="00580EB5">
      <w:pPr>
        <w:pStyle w:val="BodyA"/>
        <w:widowControl w:val="0"/>
        <w:outlineLvl w:val="0"/>
        <w:rPr>
          <w:rFonts w:ascii="Times New Roman" w:eastAsia="Times New Roman" w:hAnsi="Times New Roman" w:cs="Times New Roman"/>
          <w:sz w:val="22"/>
          <w:szCs w:val="22"/>
        </w:rPr>
      </w:pPr>
    </w:p>
    <w:p w14:paraId="4814CBF4" w14:textId="77777777" w:rsidR="00580EB5" w:rsidRDefault="00C6536E">
      <w:pPr>
        <w:pStyle w:val="BodyA"/>
        <w:keepNext/>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V</w:t>
      </w:r>
    </w:p>
    <w:p w14:paraId="60E12EF3" w14:textId="77777777" w:rsidR="00580EB5" w:rsidRDefault="00C6536E">
      <w:pPr>
        <w:pStyle w:val="BodyA"/>
        <w:keepNext/>
        <w:widowControl w:val="0"/>
        <w:jc w:val="center"/>
        <w:outlineLvl w:val="0"/>
        <w:rPr>
          <w:rFonts w:ascii="Times New Roman" w:eastAsia="Times New Roman" w:hAnsi="Times New Roman" w:cs="Times New Roman"/>
          <w:b/>
          <w:bCs/>
          <w:sz w:val="22"/>
          <w:szCs w:val="22"/>
        </w:rPr>
      </w:pPr>
      <w:r>
        <w:rPr>
          <w:rFonts w:ascii="Times New Roman"/>
          <w:b/>
          <w:bCs/>
          <w:sz w:val="22"/>
          <w:szCs w:val="22"/>
        </w:rPr>
        <w:t>Distribution and Dissolution</w:t>
      </w:r>
    </w:p>
    <w:p w14:paraId="39D2FBEA" w14:textId="77777777" w:rsidR="00580EB5" w:rsidRDefault="00C6536E">
      <w:pPr>
        <w:pStyle w:val="BodyA"/>
        <w:keepNext/>
        <w:widowControl w:val="0"/>
        <w:tabs>
          <w:tab w:val="left" w:pos="810"/>
        </w:tabs>
        <w:outlineLvl w:val="0"/>
        <w:rPr>
          <w:rFonts w:ascii="Times New Roman" w:eastAsia="Times New Roman" w:hAnsi="Times New Roman" w:cs="Times New Roman"/>
        </w:rPr>
      </w:pPr>
      <w:r>
        <w:rPr>
          <w:rFonts w:ascii="Times New Roman"/>
        </w:rPr>
        <w:t xml:space="preserve">No part of </w:t>
      </w:r>
      <w:r>
        <w:rPr>
          <w:rFonts w:ascii="Times New Roman"/>
        </w:rPr>
        <w:t>the net earnings of the Corporation inures to the benefit of or may be distributable to its members, directors, officers or other private persons.  Upon dissolution of the Corporation, the Board of Directors, after paying or making provision for the paymen</w:t>
      </w:r>
      <w:r>
        <w:rPr>
          <w:rFonts w:ascii="Times New Roman"/>
        </w:rPr>
        <w:t xml:space="preserve">t of </w:t>
      </w:r>
      <w:r>
        <w:rPr>
          <w:rFonts w:ascii="Times New Roman"/>
        </w:rPr>
        <w:lastRenderedPageBreak/>
        <w:t>all liabilities of the Corporation, will dispose of all the assets of the Corporation in furtherance of the Corporation</w:t>
      </w:r>
      <w:r>
        <w:rPr>
          <w:rFonts w:hAnsi="Times New Roman"/>
        </w:rPr>
        <w:t>’</w:t>
      </w:r>
      <w:r>
        <w:rPr>
          <w:rFonts w:ascii="Times New Roman"/>
        </w:rPr>
        <w:t>s purposes by distribution to one (1) or more other tax-exempt, nonprofit organizations as the Board of Directors determine.</w:t>
      </w:r>
    </w:p>
    <w:p w14:paraId="6E171F77" w14:textId="77777777" w:rsidR="00580EB5" w:rsidRDefault="00580EB5">
      <w:pPr>
        <w:pStyle w:val="BodyA"/>
        <w:widowControl w:val="0"/>
        <w:tabs>
          <w:tab w:val="left" w:pos="810"/>
        </w:tabs>
        <w:outlineLvl w:val="0"/>
        <w:rPr>
          <w:rFonts w:ascii="Times New Roman" w:eastAsia="Times New Roman" w:hAnsi="Times New Roman" w:cs="Times New Roman"/>
          <w:sz w:val="22"/>
          <w:szCs w:val="22"/>
        </w:rPr>
      </w:pPr>
    </w:p>
    <w:p w14:paraId="081F01CF" w14:textId="77777777" w:rsidR="00580EB5" w:rsidRDefault="00C6536E">
      <w:pPr>
        <w:pStyle w:val="BodyA"/>
        <w:widowControl w:val="0"/>
        <w:tabs>
          <w:tab w:val="left" w:pos="810"/>
        </w:tabs>
        <w:jc w:val="center"/>
        <w:outlineLvl w:val="0"/>
        <w:rPr>
          <w:rFonts w:ascii="Times New Roman" w:eastAsia="Times New Roman" w:hAnsi="Times New Roman" w:cs="Times New Roman"/>
          <w:b/>
          <w:bCs/>
          <w:sz w:val="22"/>
          <w:szCs w:val="22"/>
        </w:rPr>
      </w:pPr>
      <w:r>
        <w:rPr>
          <w:rFonts w:ascii="Times New Roman"/>
          <w:b/>
          <w:bCs/>
          <w:sz w:val="22"/>
          <w:szCs w:val="22"/>
        </w:rPr>
        <w:t>ARTIC</w:t>
      </w:r>
      <w:r>
        <w:rPr>
          <w:rFonts w:ascii="Times New Roman"/>
          <w:b/>
          <w:bCs/>
          <w:sz w:val="22"/>
          <w:szCs w:val="22"/>
        </w:rPr>
        <w:t>LE VI</w:t>
      </w:r>
    </w:p>
    <w:p w14:paraId="28951321" w14:textId="77777777" w:rsidR="00580EB5" w:rsidRDefault="00C6536E">
      <w:pPr>
        <w:pStyle w:val="BodyA"/>
        <w:widowControl w:val="0"/>
        <w:tabs>
          <w:tab w:val="left" w:pos="810"/>
        </w:tabs>
        <w:jc w:val="center"/>
        <w:outlineLvl w:val="0"/>
        <w:rPr>
          <w:rFonts w:ascii="Times New Roman" w:eastAsia="Times New Roman" w:hAnsi="Times New Roman" w:cs="Times New Roman"/>
          <w:b/>
          <w:bCs/>
          <w:sz w:val="22"/>
          <w:szCs w:val="22"/>
        </w:rPr>
      </w:pPr>
      <w:r>
        <w:rPr>
          <w:rFonts w:ascii="Times New Roman"/>
          <w:b/>
          <w:bCs/>
          <w:sz w:val="22"/>
          <w:szCs w:val="22"/>
        </w:rPr>
        <w:t>Limitation on Liability</w:t>
      </w:r>
    </w:p>
    <w:p w14:paraId="7A0BA3EA" w14:textId="77777777" w:rsidR="00580EB5" w:rsidRDefault="00580EB5">
      <w:pPr>
        <w:pStyle w:val="BodyA"/>
        <w:widowControl w:val="0"/>
        <w:tabs>
          <w:tab w:val="left" w:pos="810"/>
        </w:tabs>
        <w:jc w:val="center"/>
        <w:outlineLvl w:val="0"/>
        <w:rPr>
          <w:rFonts w:ascii="Times New Roman" w:eastAsia="Times New Roman" w:hAnsi="Times New Roman" w:cs="Times New Roman"/>
          <w:b/>
          <w:bCs/>
          <w:sz w:val="22"/>
          <w:szCs w:val="22"/>
        </w:rPr>
      </w:pPr>
    </w:p>
    <w:p w14:paraId="2B9C3A6D" w14:textId="77777777" w:rsidR="00580EB5" w:rsidRDefault="00C6536E">
      <w:pPr>
        <w:pStyle w:val="BodyA"/>
        <w:widowControl w:val="0"/>
        <w:tabs>
          <w:tab w:val="left" w:pos="810"/>
        </w:tabs>
        <w:outlineLvl w:val="0"/>
        <w:rPr>
          <w:rFonts w:ascii="Times New Roman" w:eastAsia="Times New Roman" w:hAnsi="Times New Roman" w:cs="Times New Roman"/>
        </w:rPr>
      </w:pPr>
      <w:r>
        <w:rPr>
          <w:rFonts w:ascii="Times New Roman"/>
        </w:rPr>
        <w:t>The private property of the members, directors, officers, employees and members of the Corporation will not, as such, be liable for the obligations of the Corporation. A director of the Corporation will not be liable to the C</w:t>
      </w:r>
      <w:r>
        <w:rPr>
          <w:rFonts w:ascii="Times New Roman"/>
        </w:rPr>
        <w:t>orporation or its members for monetary damages for breach of directors duties to the Corporation or its members, except for breaches of the directors duty of loyalty to the Corporation or its members; acts or omissions not in good faith or that involve int</w:t>
      </w:r>
      <w:r>
        <w:rPr>
          <w:rFonts w:ascii="Times New Roman"/>
        </w:rPr>
        <w:t>entional conduct of a knowing violation of the law; transactions from which a director derived an improper economic benefit; or conflict of interest transactions, loans or guarantees for directors and officers or unlawful distributions.</w:t>
      </w:r>
    </w:p>
    <w:p w14:paraId="237A2929" w14:textId="77777777" w:rsidR="00580EB5" w:rsidRDefault="00580EB5">
      <w:pPr>
        <w:pStyle w:val="BodyA"/>
        <w:widowControl w:val="0"/>
        <w:tabs>
          <w:tab w:val="left" w:pos="810"/>
        </w:tabs>
        <w:outlineLvl w:val="0"/>
        <w:rPr>
          <w:rFonts w:ascii="Times New Roman" w:eastAsia="Times New Roman" w:hAnsi="Times New Roman" w:cs="Times New Roman"/>
          <w:sz w:val="22"/>
          <w:szCs w:val="22"/>
        </w:rPr>
      </w:pPr>
    </w:p>
    <w:p w14:paraId="2089E143" w14:textId="77777777" w:rsidR="00580EB5" w:rsidRDefault="00580EB5">
      <w:pPr>
        <w:pStyle w:val="BodyA"/>
        <w:widowControl w:val="0"/>
        <w:tabs>
          <w:tab w:val="left" w:pos="810"/>
        </w:tabs>
        <w:outlineLvl w:val="0"/>
        <w:rPr>
          <w:rFonts w:ascii="Times New Roman" w:eastAsia="Times New Roman" w:hAnsi="Times New Roman" w:cs="Times New Roman"/>
          <w:sz w:val="22"/>
          <w:szCs w:val="22"/>
        </w:rPr>
      </w:pPr>
    </w:p>
    <w:p w14:paraId="6493993C"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VII</w:t>
      </w:r>
    </w:p>
    <w:p w14:paraId="0D6A8118"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Indem</w:t>
      </w:r>
      <w:r>
        <w:rPr>
          <w:rFonts w:ascii="Times New Roman"/>
          <w:b/>
          <w:bCs/>
          <w:sz w:val="22"/>
          <w:szCs w:val="22"/>
        </w:rPr>
        <w:t>nification of Officers and Directors</w:t>
      </w:r>
    </w:p>
    <w:p w14:paraId="49E73795" w14:textId="77777777" w:rsidR="00580EB5" w:rsidRDefault="00580EB5">
      <w:pPr>
        <w:pStyle w:val="BodyA"/>
        <w:widowControl w:val="0"/>
        <w:outlineLvl w:val="0"/>
        <w:rPr>
          <w:rFonts w:ascii="Times New Roman" w:eastAsia="Times New Roman" w:hAnsi="Times New Roman" w:cs="Times New Roman"/>
          <w:b/>
          <w:bCs/>
          <w:sz w:val="22"/>
          <w:szCs w:val="22"/>
        </w:rPr>
      </w:pPr>
    </w:p>
    <w:p w14:paraId="464C1C01" w14:textId="77777777" w:rsidR="00580EB5" w:rsidRDefault="00C6536E">
      <w:pPr>
        <w:pStyle w:val="NoSpacing"/>
        <w:rPr>
          <w:rFonts w:ascii="Times New Roman" w:eastAsia="Times New Roman" w:hAnsi="Times New Roman" w:cs="Times New Roman"/>
          <w:sz w:val="24"/>
          <w:szCs w:val="24"/>
        </w:rPr>
      </w:pPr>
      <w:r>
        <w:rPr>
          <w:rFonts w:ascii="Times New Roman"/>
        </w:rPr>
        <w:t xml:space="preserve">The </w:t>
      </w:r>
      <w:proofErr w:type="gramStart"/>
      <w:r>
        <w:rPr>
          <w:rFonts w:ascii="Times New Roman"/>
        </w:rPr>
        <w:t xml:space="preserve">Corporation </w:t>
      </w:r>
      <w:r>
        <w:rPr>
          <w:rFonts w:ascii="Times New Roman"/>
          <w:sz w:val="24"/>
          <w:szCs w:val="24"/>
        </w:rPr>
        <w:t xml:space="preserve"> may</w:t>
      </w:r>
      <w:proofErr w:type="gramEnd"/>
      <w:r>
        <w:rPr>
          <w:rFonts w:ascii="Times New Roman"/>
          <w:sz w:val="24"/>
          <w:szCs w:val="24"/>
        </w:rPr>
        <w:t xml:space="preserve"> indemnify any directors, officers, employees, incorporators, and shareholders of the corporation from any liability regarding the Corporation and the business of the Corporation, unless the person </w:t>
      </w:r>
      <w:r>
        <w:rPr>
          <w:rFonts w:ascii="Times New Roman"/>
          <w:sz w:val="24"/>
          <w:szCs w:val="24"/>
        </w:rPr>
        <w:t xml:space="preserve">fraudulently and intentionally violated the law or maliciously conducted acts to damage or defraud the Corporation, or as otherwise provided under applicable State law.  </w:t>
      </w:r>
    </w:p>
    <w:p w14:paraId="70DB3A23" w14:textId="77777777" w:rsidR="00580EB5" w:rsidRDefault="00580EB5">
      <w:pPr>
        <w:pStyle w:val="BodyA"/>
        <w:widowControl w:val="0"/>
        <w:tabs>
          <w:tab w:val="left" w:pos="810"/>
        </w:tabs>
        <w:outlineLvl w:val="0"/>
        <w:rPr>
          <w:rFonts w:ascii="Times New Roman" w:eastAsia="Times New Roman" w:hAnsi="Times New Roman" w:cs="Times New Roman"/>
        </w:rPr>
      </w:pPr>
    </w:p>
    <w:p w14:paraId="25524083" w14:textId="77777777" w:rsidR="00580EB5" w:rsidRDefault="00580EB5">
      <w:pPr>
        <w:pStyle w:val="BodyA"/>
        <w:widowControl w:val="0"/>
        <w:tabs>
          <w:tab w:val="left" w:pos="810"/>
        </w:tabs>
        <w:outlineLvl w:val="0"/>
        <w:rPr>
          <w:rFonts w:ascii="Times New Roman" w:eastAsia="Times New Roman" w:hAnsi="Times New Roman" w:cs="Times New Roman"/>
          <w:sz w:val="22"/>
          <w:szCs w:val="22"/>
        </w:rPr>
      </w:pPr>
    </w:p>
    <w:p w14:paraId="5F81955D"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VIII</w:t>
      </w:r>
    </w:p>
    <w:p w14:paraId="094BFE55"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Principal Place of Business</w:t>
      </w:r>
    </w:p>
    <w:p w14:paraId="4368CBC9" w14:textId="77777777" w:rsidR="00580EB5" w:rsidRDefault="00580EB5">
      <w:pPr>
        <w:pStyle w:val="BodyA"/>
        <w:widowControl w:val="0"/>
        <w:tabs>
          <w:tab w:val="left" w:pos="810"/>
        </w:tabs>
        <w:ind w:left="1440" w:hanging="1440"/>
        <w:outlineLvl w:val="0"/>
        <w:rPr>
          <w:rFonts w:ascii="Times New Roman" w:eastAsia="Times New Roman" w:hAnsi="Times New Roman" w:cs="Times New Roman"/>
          <w:sz w:val="22"/>
          <w:szCs w:val="22"/>
        </w:rPr>
      </w:pPr>
    </w:p>
    <w:p w14:paraId="265EADBF" w14:textId="77777777" w:rsidR="00580EB5" w:rsidRDefault="00C6536E">
      <w:pPr>
        <w:pStyle w:val="BodyA"/>
        <w:widowControl w:val="0"/>
        <w:tabs>
          <w:tab w:val="left" w:pos="810"/>
        </w:tabs>
        <w:outlineLvl w:val="0"/>
        <w:rPr>
          <w:rFonts w:ascii="Times New Roman" w:eastAsia="Times New Roman" w:hAnsi="Times New Roman" w:cs="Times New Roman"/>
        </w:rPr>
      </w:pPr>
      <w:r>
        <w:rPr>
          <w:rFonts w:ascii="Times New Roman"/>
        </w:rPr>
        <w:t>[</w:t>
      </w:r>
      <w:r>
        <w:rPr>
          <w:rFonts w:ascii="Times New Roman"/>
          <w:b/>
          <w:bCs/>
        </w:rPr>
        <w:t>Insert Address</w:t>
      </w:r>
      <w:r>
        <w:rPr>
          <w:rFonts w:ascii="Times New Roman"/>
        </w:rPr>
        <w:t>]</w:t>
      </w:r>
    </w:p>
    <w:p w14:paraId="193C360E" w14:textId="77777777" w:rsidR="00580EB5" w:rsidRDefault="00580EB5">
      <w:pPr>
        <w:pStyle w:val="BodyA"/>
        <w:widowControl w:val="0"/>
        <w:tabs>
          <w:tab w:val="left" w:pos="810"/>
        </w:tabs>
        <w:ind w:left="1440" w:hanging="1440"/>
        <w:outlineLvl w:val="0"/>
        <w:rPr>
          <w:rFonts w:ascii="Times New Roman" w:eastAsia="Times New Roman" w:hAnsi="Times New Roman" w:cs="Times New Roman"/>
          <w:sz w:val="22"/>
          <w:szCs w:val="22"/>
        </w:rPr>
      </w:pPr>
    </w:p>
    <w:p w14:paraId="35F27D5F"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IX</w:t>
      </w:r>
    </w:p>
    <w:p w14:paraId="32C06786" w14:textId="77777777" w:rsidR="00580EB5" w:rsidRDefault="00C6536E">
      <w:pPr>
        <w:pStyle w:val="BodyA"/>
        <w:widowControl w:val="0"/>
        <w:jc w:val="center"/>
        <w:outlineLvl w:val="0"/>
        <w:rPr>
          <w:rFonts w:ascii="Times New Roman" w:eastAsia="Times New Roman" w:hAnsi="Times New Roman" w:cs="Times New Roman"/>
          <w:b/>
          <w:bCs/>
          <w:sz w:val="22"/>
          <w:szCs w:val="22"/>
        </w:rPr>
      </w:pPr>
      <w:r>
        <w:rPr>
          <w:rFonts w:ascii="Times New Roman"/>
          <w:b/>
          <w:bCs/>
          <w:sz w:val="22"/>
          <w:szCs w:val="22"/>
        </w:rPr>
        <w:t>Amendments</w:t>
      </w:r>
    </w:p>
    <w:p w14:paraId="1A505A7F" w14:textId="77777777" w:rsidR="00580EB5" w:rsidRDefault="00580EB5">
      <w:pPr>
        <w:pStyle w:val="BodyA"/>
        <w:widowControl w:val="0"/>
        <w:tabs>
          <w:tab w:val="left" w:pos="810"/>
        </w:tabs>
        <w:ind w:left="1440" w:hanging="1440"/>
        <w:outlineLvl w:val="0"/>
        <w:rPr>
          <w:rFonts w:ascii="Times New Roman" w:eastAsia="Times New Roman" w:hAnsi="Times New Roman" w:cs="Times New Roman"/>
          <w:sz w:val="22"/>
          <w:szCs w:val="22"/>
        </w:rPr>
      </w:pPr>
    </w:p>
    <w:p w14:paraId="17AC734F" w14:textId="77777777" w:rsidR="00580EB5" w:rsidRDefault="00C6536E">
      <w:pPr>
        <w:pStyle w:val="BodyA"/>
        <w:widowControl w:val="0"/>
        <w:tabs>
          <w:tab w:val="left" w:pos="810"/>
        </w:tabs>
        <w:outlineLvl w:val="0"/>
        <w:rPr>
          <w:rFonts w:ascii="Times New Roman" w:eastAsia="Times New Roman" w:hAnsi="Times New Roman" w:cs="Times New Roman"/>
        </w:rPr>
      </w:pPr>
      <w:r>
        <w:rPr>
          <w:rFonts w:ascii="Times New Roman"/>
        </w:rPr>
        <w:t>These Articles of Incorporation may be amended in the manner authorized by law and the Bylaws of the Corporation at the time of amendment.</w:t>
      </w:r>
    </w:p>
    <w:p w14:paraId="4DD067E1" w14:textId="77777777" w:rsidR="00580EB5" w:rsidRDefault="00580EB5">
      <w:pPr>
        <w:pStyle w:val="BodyA"/>
        <w:keepNext/>
        <w:widowControl w:val="0"/>
        <w:jc w:val="center"/>
        <w:outlineLvl w:val="0"/>
        <w:rPr>
          <w:rFonts w:ascii="Times New Roman" w:eastAsia="Times New Roman" w:hAnsi="Times New Roman" w:cs="Times New Roman"/>
          <w:b/>
          <w:bCs/>
          <w:sz w:val="22"/>
          <w:szCs w:val="22"/>
        </w:rPr>
      </w:pPr>
    </w:p>
    <w:p w14:paraId="4F2DF5D5" w14:textId="77777777" w:rsidR="00580EB5" w:rsidRDefault="00C6536E">
      <w:pPr>
        <w:pStyle w:val="BodyA"/>
        <w:keepNext/>
        <w:widowControl w:val="0"/>
        <w:jc w:val="center"/>
        <w:outlineLvl w:val="0"/>
        <w:rPr>
          <w:rFonts w:ascii="Times New Roman" w:eastAsia="Times New Roman" w:hAnsi="Times New Roman" w:cs="Times New Roman"/>
          <w:b/>
          <w:bCs/>
          <w:sz w:val="22"/>
          <w:szCs w:val="22"/>
        </w:rPr>
      </w:pPr>
      <w:r>
        <w:rPr>
          <w:rFonts w:ascii="Times New Roman"/>
          <w:b/>
          <w:bCs/>
          <w:sz w:val="22"/>
          <w:szCs w:val="22"/>
        </w:rPr>
        <w:t>ARTICLE X</w:t>
      </w:r>
    </w:p>
    <w:p w14:paraId="313CD714" w14:textId="77777777" w:rsidR="00580EB5" w:rsidRDefault="00580EB5">
      <w:pPr>
        <w:pStyle w:val="BodyA"/>
        <w:keepNext/>
        <w:widowControl w:val="0"/>
        <w:tabs>
          <w:tab w:val="left" w:pos="810"/>
        </w:tabs>
        <w:ind w:left="1440" w:hanging="1440"/>
        <w:outlineLvl w:val="0"/>
        <w:rPr>
          <w:rFonts w:ascii="Times New Roman" w:eastAsia="Times New Roman" w:hAnsi="Times New Roman" w:cs="Times New Roman"/>
          <w:sz w:val="22"/>
          <w:szCs w:val="22"/>
        </w:rPr>
      </w:pPr>
    </w:p>
    <w:p w14:paraId="0613E6EC" w14:textId="77777777" w:rsidR="00580EB5" w:rsidRDefault="00C6536E">
      <w:pPr>
        <w:pStyle w:val="BodyA"/>
        <w:tabs>
          <w:tab w:val="left" w:pos="720"/>
          <w:tab w:val="left" w:pos="2160"/>
          <w:tab w:val="left" w:pos="2880"/>
          <w:tab w:val="left" w:pos="3600"/>
          <w:tab w:val="left" w:pos="4320"/>
          <w:tab w:val="left" w:pos="5040"/>
          <w:tab w:val="center" w:pos="7200"/>
          <w:tab w:val="left" w:pos="8140"/>
        </w:tabs>
        <w:rPr>
          <w:rFonts w:ascii="Times New Roman" w:eastAsia="Times New Roman" w:hAnsi="Times New Roman" w:cs="Times New Roman"/>
        </w:rPr>
      </w:pPr>
      <w:r>
        <w:rPr>
          <w:rFonts w:ascii="Times New Roman"/>
        </w:rPr>
        <w:t>[</w:t>
      </w:r>
      <w:r>
        <w:rPr>
          <w:rFonts w:ascii="Times New Roman"/>
          <w:b/>
          <w:bCs/>
        </w:rPr>
        <w:t>Insert State Requirements for Filing/Signing</w:t>
      </w:r>
      <w:r>
        <w:rPr>
          <w:rFonts w:ascii="Times New Roman"/>
        </w:rPr>
        <w:t>]</w:t>
      </w:r>
    </w:p>
    <w:p w14:paraId="448E983E" w14:textId="77777777" w:rsidR="00580EB5" w:rsidRDefault="00C6536E">
      <w:pPr>
        <w:pStyle w:val="BodyA"/>
        <w:tabs>
          <w:tab w:val="left" w:pos="720"/>
          <w:tab w:val="left" w:pos="1440"/>
          <w:tab w:val="left" w:pos="2160"/>
          <w:tab w:val="left" w:pos="2880"/>
          <w:tab w:val="left" w:pos="3600"/>
          <w:tab w:val="left" w:pos="4320"/>
          <w:tab w:val="left" w:pos="5040"/>
          <w:tab w:val="center" w:pos="7200"/>
          <w:tab w:val="left" w:pos="8140"/>
        </w:tabs>
        <w:rPr>
          <w:rFonts w:ascii="Times New Roman" w:eastAsia="Times New Roman" w:hAnsi="Times New Roman" w:cs="Times New Roman"/>
        </w:rPr>
      </w:pPr>
      <w:r>
        <w:rPr>
          <w:rFonts w:ascii="Times New Roman" w:eastAsia="Times New Roman" w:hAnsi="Times New Roman" w:cs="Times New Roman"/>
        </w:rPr>
        <w:tab/>
      </w:r>
    </w:p>
    <w:p w14:paraId="2D735851" w14:textId="77777777" w:rsidR="00580EB5" w:rsidRDefault="00C6536E">
      <w:pPr>
        <w:pStyle w:val="BodyA"/>
        <w:tabs>
          <w:tab w:val="left" w:pos="720"/>
          <w:tab w:val="left" w:pos="1440"/>
          <w:tab w:val="left" w:pos="2160"/>
          <w:tab w:val="left" w:pos="2880"/>
          <w:tab w:val="left" w:pos="3600"/>
          <w:tab w:val="left" w:pos="4320"/>
          <w:tab w:val="left" w:pos="5040"/>
          <w:tab w:val="center" w:pos="7200"/>
          <w:tab w:val="left" w:pos="8140"/>
        </w:tabs>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sectPr w:rsidR="00580EB5">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76BDE" w14:textId="77777777" w:rsidR="00C6536E" w:rsidRDefault="00C6536E">
      <w:r>
        <w:separator/>
      </w:r>
    </w:p>
  </w:endnote>
  <w:endnote w:type="continuationSeparator" w:id="0">
    <w:p w14:paraId="5831DA9B" w14:textId="77777777" w:rsidR="00C6536E" w:rsidRDefault="00C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ig Caslon">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494F8" w14:textId="77777777" w:rsidR="00580EB5" w:rsidRDefault="00C6536E">
    <w:pPr>
      <w:pStyle w:val="Footer"/>
      <w:tabs>
        <w:tab w:val="clear" w:pos="8640"/>
        <w:tab w:val="right" w:pos="8620"/>
      </w:tabs>
      <w:jc w:val="right"/>
      <w:rPr>
        <w:rFonts w:ascii="Big Caslon" w:eastAsia="Big Caslon" w:hAnsi="Big Caslon" w:cs="Big Caslon"/>
        <w:sz w:val="20"/>
        <w:szCs w:val="20"/>
      </w:rPr>
    </w:pPr>
    <w:r>
      <w:rPr>
        <w:rFonts w:ascii="Big Caslon" w:eastAsia="Big Caslon" w:hAnsi="Big Caslon" w:cs="Big Caslon"/>
        <w:sz w:val="20"/>
        <w:szCs w:val="20"/>
      </w:rPr>
      <w:fldChar w:fldCharType="begin"/>
    </w:r>
    <w:r>
      <w:rPr>
        <w:rFonts w:ascii="Big Caslon" w:eastAsia="Big Caslon" w:hAnsi="Big Caslon" w:cs="Big Caslon"/>
        <w:sz w:val="20"/>
        <w:szCs w:val="20"/>
      </w:rPr>
      <w:instrText xml:space="preserve"> PAGE </w:instrText>
    </w:r>
    <w:r>
      <w:rPr>
        <w:rFonts w:ascii="Big Caslon" w:eastAsia="Big Caslon" w:hAnsi="Big Caslon" w:cs="Big Caslon"/>
        <w:sz w:val="20"/>
        <w:szCs w:val="20"/>
      </w:rPr>
      <w:fldChar w:fldCharType="separate"/>
    </w:r>
    <w:r w:rsidR="00A304CB">
      <w:rPr>
        <w:rFonts w:ascii="Big Caslon" w:eastAsia="Big Caslon" w:hAnsi="Big Caslon" w:cs="Big Caslon"/>
        <w:noProof/>
        <w:sz w:val="20"/>
        <w:szCs w:val="20"/>
      </w:rPr>
      <w:t>3</w:t>
    </w:r>
    <w:r>
      <w:rPr>
        <w:rFonts w:ascii="Big Caslon" w:eastAsia="Big Caslon" w:hAnsi="Big Caslon" w:cs="Big Caslon"/>
        <w:sz w:val="20"/>
        <w:szCs w:val="20"/>
      </w:rPr>
      <w:fldChar w:fldCharType="end"/>
    </w:r>
  </w:p>
  <w:p w14:paraId="6033DB43" w14:textId="77777777" w:rsidR="00580EB5" w:rsidRDefault="00C6536E">
    <w:pPr>
      <w:pStyle w:val="Footer"/>
      <w:tabs>
        <w:tab w:val="clear" w:pos="8640"/>
        <w:tab w:val="right" w:pos="8620"/>
      </w:tabs>
      <w:spacing w:line="200" w:lineRule="exact"/>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63814" w14:textId="77777777" w:rsidR="00C6536E" w:rsidRDefault="00C6536E">
      <w:r>
        <w:separator/>
      </w:r>
    </w:p>
  </w:footnote>
  <w:footnote w:type="continuationSeparator" w:id="0">
    <w:p w14:paraId="1383DD7B" w14:textId="77777777" w:rsidR="00C6536E" w:rsidRDefault="00C65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52B18" w14:textId="77777777" w:rsidR="00580EB5" w:rsidRDefault="00C6536E">
    <w:pPr>
      <w:pStyle w:val="Header"/>
      <w:tabs>
        <w:tab w:val="clear" w:pos="8640"/>
        <w:tab w:val="right" w:pos="8620"/>
      </w:tabs>
      <w:jc w:val="center"/>
    </w:pPr>
    <w:r>
      <w:rPr>
        <w:rFonts w:ascii="Times New Roman"/>
        <w:color w:val="FF0000"/>
        <w:sz w:val="20"/>
        <w:szCs w:val="20"/>
        <w:u w:color="FF0000"/>
      </w:rPr>
      <w:t xml:space="preserve">THESE ARE FOR GUIDANCE AND EDUCATIONAL PURPOSES ONLY.  THESE ARTICLES OF </w:t>
    </w:r>
    <w:r>
      <w:rPr>
        <w:rFonts w:ascii="Times New Roman" w:eastAsia="Times New Roman" w:hAnsi="Times New Roman" w:cs="Times New Roman"/>
        <w:color w:val="FF0000"/>
        <w:sz w:val="20"/>
        <w:szCs w:val="20"/>
        <w:u w:color="FF0000"/>
      </w:rPr>
      <w:br/>
    </w:r>
    <w:r>
      <w:rPr>
        <w:rFonts w:ascii="Times New Roman"/>
        <w:color w:val="FF0000"/>
        <w:sz w:val="20"/>
        <w:szCs w:val="20"/>
        <w:u w:color="FF0000"/>
      </w:rPr>
      <w:t xml:space="preserve">INCORPORATION MAY NOT BE IN COMPLIANCE WITH YOUR STATE LAWS AND ARE NOT INTENDED TO BE SPECIFIC LEGAL ADVICE OF MALKIN LAW P.A. CONSULT AN ATTORNEY BEFORE FILING </w:t>
    </w:r>
    <w:r>
      <w:rPr>
        <w:rFonts w:ascii="Times New Roman"/>
        <w:color w:val="FF0000"/>
        <w:sz w:val="20"/>
        <w:szCs w:val="20"/>
        <w:u w:color="FF0000"/>
      </w:rPr>
      <w:t xml:space="preserve">ANY DOCUMENTS WITH ANY GOVERNMENTAL OR OTHER AGENCIES.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7008E"/>
    <w:multiLevelType w:val="multilevel"/>
    <w:tmpl w:val="CFD80608"/>
    <w:lvl w:ilvl="0">
      <w:start w:val="1"/>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16"/>
        </w:tabs>
      </w:pPr>
      <w:rPr>
        <w:position w:val="0"/>
        <w:sz w:val="24"/>
        <w:szCs w:val="24"/>
        <w:lang w:val="en-US"/>
      </w:rPr>
    </w:lvl>
    <w:lvl w:ilvl="2">
      <w:start w:val="1"/>
      <w:numFmt w:val="lowerRoman"/>
      <w:lvlText w:val="%3."/>
      <w:lvlJc w:val="left"/>
      <w:pPr>
        <w:tabs>
          <w:tab w:val="num" w:pos="116"/>
        </w:tabs>
      </w:pPr>
      <w:rPr>
        <w:position w:val="0"/>
        <w:sz w:val="24"/>
        <w:szCs w:val="24"/>
        <w:lang w:val="en-US"/>
      </w:rPr>
    </w:lvl>
    <w:lvl w:ilvl="3">
      <w:start w:val="1"/>
      <w:numFmt w:val="decimal"/>
      <w:lvlText w:val="%4."/>
      <w:lvlJc w:val="left"/>
      <w:pPr>
        <w:tabs>
          <w:tab w:val="num" w:pos="116"/>
        </w:tabs>
      </w:pPr>
      <w:rPr>
        <w:position w:val="0"/>
        <w:sz w:val="24"/>
        <w:szCs w:val="24"/>
        <w:lang w:val="en-US"/>
      </w:rPr>
    </w:lvl>
    <w:lvl w:ilvl="4">
      <w:start w:val="1"/>
      <w:numFmt w:val="lowerLetter"/>
      <w:lvlText w:val="%5."/>
      <w:lvlJc w:val="left"/>
      <w:pPr>
        <w:tabs>
          <w:tab w:val="num" w:pos="116"/>
        </w:tabs>
      </w:pPr>
      <w:rPr>
        <w:position w:val="0"/>
        <w:sz w:val="24"/>
        <w:szCs w:val="24"/>
        <w:lang w:val="en-US"/>
      </w:rPr>
    </w:lvl>
    <w:lvl w:ilvl="5">
      <w:start w:val="1"/>
      <w:numFmt w:val="lowerRoman"/>
      <w:lvlText w:val="%6."/>
      <w:lvlJc w:val="left"/>
      <w:pPr>
        <w:tabs>
          <w:tab w:val="num" w:pos="116"/>
        </w:tabs>
      </w:pPr>
      <w:rPr>
        <w:position w:val="0"/>
        <w:sz w:val="24"/>
        <w:szCs w:val="24"/>
        <w:lang w:val="en-US"/>
      </w:rPr>
    </w:lvl>
    <w:lvl w:ilvl="6">
      <w:start w:val="1"/>
      <w:numFmt w:val="decimal"/>
      <w:lvlText w:val="%7."/>
      <w:lvlJc w:val="left"/>
      <w:pPr>
        <w:tabs>
          <w:tab w:val="num" w:pos="116"/>
        </w:tabs>
      </w:pPr>
      <w:rPr>
        <w:position w:val="0"/>
        <w:sz w:val="24"/>
        <w:szCs w:val="24"/>
        <w:lang w:val="en-US"/>
      </w:rPr>
    </w:lvl>
    <w:lvl w:ilvl="7">
      <w:start w:val="1"/>
      <w:numFmt w:val="lowerLetter"/>
      <w:lvlText w:val="%8."/>
      <w:lvlJc w:val="left"/>
      <w:pPr>
        <w:tabs>
          <w:tab w:val="num" w:pos="116"/>
        </w:tabs>
      </w:pPr>
      <w:rPr>
        <w:position w:val="0"/>
        <w:sz w:val="24"/>
        <w:szCs w:val="24"/>
        <w:lang w:val="en-US"/>
      </w:rPr>
    </w:lvl>
    <w:lvl w:ilvl="8">
      <w:start w:val="1"/>
      <w:numFmt w:val="lowerRoman"/>
      <w:lvlText w:val="%9."/>
      <w:lvlJc w:val="left"/>
      <w:pPr>
        <w:tabs>
          <w:tab w:val="num" w:pos="116"/>
        </w:tabs>
      </w:pPr>
      <w:rPr>
        <w:position w:val="0"/>
        <w:sz w:val="24"/>
        <w:szCs w:val="24"/>
        <w:lang w:val="en-US"/>
      </w:rPr>
    </w:lvl>
  </w:abstractNum>
  <w:abstractNum w:abstractNumId="1">
    <w:nsid w:val="4DD82AE5"/>
    <w:multiLevelType w:val="multilevel"/>
    <w:tmpl w:val="A5C4C8A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6EE7557D"/>
    <w:multiLevelType w:val="multilevel"/>
    <w:tmpl w:val="BA12BE5C"/>
    <w:styleLink w:val="List0"/>
    <w:lvl w:ilvl="0">
      <w:start w:val="1"/>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16"/>
        </w:tabs>
      </w:pPr>
      <w:rPr>
        <w:position w:val="0"/>
        <w:sz w:val="24"/>
        <w:szCs w:val="24"/>
        <w:lang w:val="en-US"/>
      </w:rPr>
    </w:lvl>
    <w:lvl w:ilvl="2">
      <w:start w:val="1"/>
      <w:numFmt w:val="lowerRoman"/>
      <w:lvlText w:val="%3."/>
      <w:lvlJc w:val="left"/>
      <w:pPr>
        <w:tabs>
          <w:tab w:val="num" w:pos="116"/>
        </w:tabs>
      </w:pPr>
      <w:rPr>
        <w:position w:val="0"/>
        <w:sz w:val="24"/>
        <w:szCs w:val="24"/>
        <w:lang w:val="en-US"/>
      </w:rPr>
    </w:lvl>
    <w:lvl w:ilvl="3">
      <w:start w:val="1"/>
      <w:numFmt w:val="decimal"/>
      <w:lvlText w:val="%4."/>
      <w:lvlJc w:val="left"/>
      <w:pPr>
        <w:tabs>
          <w:tab w:val="num" w:pos="116"/>
        </w:tabs>
      </w:pPr>
      <w:rPr>
        <w:position w:val="0"/>
        <w:sz w:val="24"/>
        <w:szCs w:val="24"/>
        <w:lang w:val="en-US"/>
      </w:rPr>
    </w:lvl>
    <w:lvl w:ilvl="4">
      <w:start w:val="1"/>
      <w:numFmt w:val="lowerLetter"/>
      <w:lvlText w:val="%5."/>
      <w:lvlJc w:val="left"/>
      <w:pPr>
        <w:tabs>
          <w:tab w:val="num" w:pos="116"/>
        </w:tabs>
      </w:pPr>
      <w:rPr>
        <w:position w:val="0"/>
        <w:sz w:val="24"/>
        <w:szCs w:val="24"/>
        <w:lang w:val="en-US"/>
      </w:rPr>
    </w:lvl>
    <w:lvl w:ilvl="5">
      <w:start w:val="1"/>
      <w:numFmt w:val="lowerRoman"/>
      <w:lvlText w:val="%6."/>
      <w:lvlJc w:val="left"/>
      <w:pPr>
        <w:tabs>
          <w:tab w:val="num" w:pos="116"/>
        </w:tabs>
      </w:pPr>
      <w:rPr>
        <w:position w:val="0"/>
        <w:sz w:val="24"/>
        <w:szCs w:val="24"/>
        <w:lang w:val="en-US"/>
      </w:rPr>
    </w:lvl>
    <w:lvl w:ilvl="6">
      <w:start w:val="1"/>
      <w:numFmt w:val="decimal"/>
      <w:lvlText w:val="%7."/>
      <w:lvlJc w:val="left"/>
      <w:pPr>
        <w:tabs>
          <w:tab w:val="num" w:pos="116"/>
        </w:tabs>
      </w:pPr>
      <w:rPr>
        <w:position w:val="0"/>
        <w:sz w:val="24"/>
        <w:szCs w:val="24"/>
        <w:lang w:val="en-US"/>
      </w:rPr>
    </w:lvl>
    <w:lvl w:ilvl="7">
      <w:start w:val="1"/>
      <w:numFmt w:val="lowerLetter"/>
      <w:lvlText w:val="%8."/>
      <w:lvlJc w:val="left"/>
      <w:pPr>
        <w:tabs>
          <w:tab w:val="num" w:pos="116"/>
        </w:tabs>
      </w:pPr>
      <w:rPr>
        <w:position w:val="0"/>
        <w:sz w:val="24"/>
        <w:szCs w:val="24"/>
        <w:lang w:val="en-US"/>
      </w:rPr>
    </w:lvl>
    <w:lvl w:ilvl="8">
      <w:start w:val="1"/>
      <w:numFmt w:val="lowerRoman"/>
      <w:lvlText w:val="%9."/>
      <w:lvlJc w:val="left"/>
      <w:pPr>
        <w:tabs>
          <w:tab w:val="num" w:pos="116"/>
        </w:tabs>
      </w:pPr>
      <w:rPr>
        <w:position w:val="0"/>
        <w:sz w:val="24"/>
        <w:szCs w:val="24"/>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B5"/>
    <w:rsid w:val="00580EB5"/>
    <w:rsid w:val="00A304CB"/>
    <w:rsid w:val="00C653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84B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Unicode MS" w:cs="Arial Unicode MS"/>
      <w:color w:val="000000"/>
      <w:sz w:val="24"/>
      <w:szCs w:val="24"/>
      <w:u w:color="000000"/>
    </w:rPr>
  </w:style>
  <w:style w:type="paragraph" w:styleId="Footer">
    <w:name w:val="footer"/>
    <w:pPr>
      <w:tabs>
        <w:tab w:val="center" w:pos="4320"/>
        <w:tab w:val="right" w:pos="8640"/>
      </w:tabs>
    </w:pPr>
    <w:rPr>
      <w:rFonts w:ascii="Arial" w:eastAsia="Arial" w:hAnsi="Arial" w:cs="Arial"/>
      <w:color w:val="000000"/>
      <w:sz w:val="24"/>
      <w:szCs w:val="24"/>
      <w:u w:color="000000"/>
    </w:rPr>
  </w:style>
  <w:style w:type="paragraph" w:customStyle="1" w:styleId="BodyA">
    <w:name w:val="Body A"/>
    <w:rPr>
      <w:rFonts w:ascii="Arial" w:eastAsia="Arial" w:hAnsi="Arial" w:cs="Arial"/>
      <w:color w:val="000000"/>
      <w:sz w:val="24"/>
      <w:szCs w:val="24"/>
      <w:u w:color="000000"/>
    </w:rPr>
  </w:style>
  <w:style w:type="paragraph" w:styleId="ListParagraph">
    <w:name w:val="List Paragraph"/>
    <w:pPr>
      <w:ind w:left="720"/>
    </w:pPr>
    <w:rPr>
      <w:rFonts w:ascii="Arial"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NoSpacing">
    <w:name w:val="No Spacing"/>
    <w:rPr>
      <w:rFonts w:ascii="Calibri"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4959</Characters>
  <Application>Microsoft Macintosh Word</Application>
  <DocSecurity>0</DocSecurity>
  <Lines>41</Lines>
  <Paragraphs>11</Paragraphs>
  <ScaleCrop>false</ScaleCrop>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2018-02-15T18:49:00Z</dcterms:created>
  <dcterms:modified xsi:type="dcterms:W3CDTF">2018-02-15T18:49:00Z</dcterms:modified>
</cp:coreProperties>
</file>